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Trust and Permission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 leadership lesson in vulnerability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Late in 2021 I was delivering a client programme when, out of the blue, I received some extremely difficult news. My blood froze when I saw the 12 missed calls throughout the day from two different numbers I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recognise. What I learned in the subsequent minutes folded me in two and knocked me to the ground. There was no question of me entering the classroom again, I was in deep shock and grief.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Five months later Spring 2022 dawned and it was time for me to get back to doing the work I love, facilitating Equest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horse-led leadership development programmes. We had 20 international leaders coming to the farm where we are based in Wiltshire for a two day programme. As it approached, still feeling raw and emotionally spent from the aftermath of my bereavement, I began to doubt whether I was up to leading our team of 10 humans and 8 horses and facilitating an intense process for a group of this size.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nature of the leadership development we offer plumbs the depths of human emotion albeit gently.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be talking about being authentic, connecting with the essential self, about being vulnerable and creating emotional safety. And here I was, the programme leader, on track to be perhaps the most vulnerable person in the room. I knew my feelings of trauma could easily be triggered at the location where my nightmare had started and I began to question whether I should do the programme at all. I was terrified of spoiling the experience for the group, of being hijacked by my feelings, of looking stupid, of losing control, of not being able to provide a safe environment for others.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What is the worst thing that can happen?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My supervisor said to me in our session a couple of  weeks before the programme.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That I break down and completely lose it,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I said.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So? What would happen if you did?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She continued.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I suppose one of my team would take over. I would trust them implicitly to carry on without me, to cover for me.</w:t>
      </w:r>
      <w:r>
        <w:rPr>
          <w:rtl w:val="0"/>
          <w:lang w:val="en-US"/>
        </w:rPr>
        <w:t>’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And what would the impact on the participants be of you breaking down? What kind of example would it set?</w:t>
      </w:r>
      <w:r>
        <w:rPr>
          <w:rtl w:val="0"/>
          <w:lang w:val="en-US"/>
        </w:rPr>
        <w:t>’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I guess it would be an example of authentic behaviour, and of being courageous enough to be vulnerable!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I couldn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help a wry giggle.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So on the morning of the programme I briefed my team that they needed to be ready and verbalised the trust I had in them. Together we devised 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Pam breakdown back-up plan.</w:t>
      </w:r>
      <w:r>
        <w:rPr>
          <w:rtl w:val="0"/>
          <w:lang w:val="en-US"/>
        </w:rPr>
        <w:t xml:space="preserve">’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classroom hummed with happy expectation as I stood to welcome the client group. I shared that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d had some bad news the last time I stood there and that I was still fragile, which the tremor in my voice betrayed. But I breathed deeply, grounded my turbulent feelings down through my feet, looked outside to the tranquil herd, the beautiful landscape, the red kites hovering overhead. I felt calmer. I had done it. I had named my vulnerability and suddenly everything seemed possible.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My usual introduction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seem appropriate. Instead I read to the group from my journal about why the leadership development work I do with horses is so important to me. I spoke of how our approach has evolved through the interconnection and courage and contribution of many, both human and equine. I held myself together, just about, and the emotional chord I struck continued to vibrate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beautiful harmonies throughout the following two days for everyone present. I hadn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broken down as I had feared, but I hadn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pretended either. I had let my emotions live and breathe within the group process. And the group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learning experience was richer for it: safe, joyful and profound.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I had rested in Trust - of my colleagues, of the horses, of our clients, of the process. And I had given myself Permission - to be truly real, to shed the need to be brave, or infallible, or in charge. The heart-opening which I had no choice other than to embrace flowed through to the group - they trusted and they too gave themselves permission to be true to themselves.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This experience has changed the way that I lead forever.  Whilst the pain caused by my bereavement will lessen over time, I trust that the gifts it gave me - how to be openly vulnerable with grace, intention and fortitude and how to ask for help - will continue to grow and make me a better leader, practitioner and human being.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Pam is a writer, leadership coach, specialist in Embodied Horse-Led Leadership Development and Director of Equest Limited. Her books </w:t>
      </w:r>
      <w:r>
        <w:rPr>
          <w:b w:val="1"/>
          <w:bCs w:val="1"/>
          <w:i w:val="1"/>
          <w:iCs w:val="1"/>
          <w:rtl w:val="0"/>
          <w:lang w:val="en-US"/>
        </w:rPr>
        <w:t>The Spell of the Horse, Stories of Healing and Personal Transformation with Nature</w:t>
      </w:r>
      <w:r>
        <w:rPr>
          <w:b w:val="1"/>
          <w:bCs w:val="1"/>
          <w:i w:val="1"/>
          <w:iCs w:val="1"/>
          <w:rtl w:val="0"/>
          <w:lang w:val="en-US"/>
        </w:rPr>
        <w:t>’</w:t>
      </w:r>
      <w:r>
        <w:rPr>
          <w:b w:val="1"/>
          <w:bCs w:val="1"/>
          <w:i w:val="1"/>
          <w:iCs w:val="1"/>
          <w:rtl w:val="0"/>
          <w:lang w:val="en-US"/>
        </w:rPr>
        <w:t>s Finest Teacher</w:t>
      </w:r>
      <w:r>
        <w:rPr>
          <w:b w:val="1"/>
          <w:bCs w:val="1"/>
          <w:rtl w:val="0"/>
          <w:lang w:val="en-US"/>
        </w:rPr>
        <w:t xml:space="preserve"> and </w:t>
      </w:r>
      <w:r>
        <w:rPr>
          <w:b w:val="1"/>
          <w:bCs w:val="1"/>
          <w:i w:val="1"/>
          <w:iCs w:val="1"/>
          <w:rtl w:val="0"/>
          <w:lang w:val="en-US"/>
        </w:rPr>
        <w:t>The Spirit of the Horse, Finding Healing and Spiritual Connection with the Horse</w:t>
      </w:r>
      <w:r>
        <w:rPr>
          <w:b w:val="1"/>
          <w:bCs w:val="1"/>
          <w:rtl w:val="0"/>
          <w:lang w:val="en-US"/>
        </w:rPr>
        <w:t>, are published by Blackbird Books and available from all good publishers.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